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C93DD">
      <w:pPr>
        <w:pStyle w:val="2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OLE_LINK4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bookmarkStart w:id="6" w:name="_GoBack"/>
      <w:bookmarkEnd w:id="6"/>
      <w:r>
        <w:rPr>
          <w:b/>
          <w:i/>
          <w:sz w:val="28"/>
        </w:rPr>
        <w:t>S5-25</w:t>
      </w:r>
      <w:r>
        <w:rPr>
          <w:b/>
          <w:i/>
          <w:sz w:val="28"/>
          <w:lang w:eastAsia="zh-CN"/>
        </w:rPr>
        <w:t>5</w:t>
      </w:r>
      <w:r>
        <w:rPr>
          <w:rFonts w:hint="eastAsia"/>
          <w:b/>
          <w:i/>
          <w:sz w:val="28"/>
          <w:lang w:val="en-US" w:eastAsia="zh-CN"/>
        </w:rPr>
        <w:t>419</w:t>
      </w:r>
    </w:p>
    <w:p w14:paraId="2EC1353E">
      <w:pPr>
        <w:pStyle w:val="1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en-US" w:eastAsia="zh-CN"/>
        </w:rPr>
        <w:t>Dallas, USA 17 - 21 November</w:t>
      </w:r>
      <w:r>
        <w:rPr>
          <w:rFonts w:ascii="Arial" w:hAnsi="Arial"/>
          <w:b/>
          <w:sz w:val="24"/>
        </w:rPr>
        <w:t xml:space="preserve"> 2025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CATT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SID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Charging Aspects of </w:t>
      </w:r>
      <w:r>
        <w:rPr>
          <w:rFonts w:ascii="Arial" w:hAnsi="Arial" w:cs="Arial"/>
          <w:b/>
          <w:sz w:val="24"/>
          <w:szCs w:val="24"/>
          <w:lang w:eastAsia="zh-CN"/>
        </w:rPr>
        <w:t>satellite access phase 4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7.2.1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Aspects of </w:t>
      </w:r>
      <w:r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satellite access phase 4</w:t>
      </w:r>
    </w:p>
    <w:p w14:paraId="1845B441">
      <w:pPr>
        <w:pStyle w:val="26"/>
      </w:pP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" w:name="OLE_LINK8"/>
      <w:r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FS_5GSAT_Ph4_CH</w:t>
      </w:r>
    </w:p>
    <w:bookmarkEnd w:id="1"/>
    <w:p w14:paraId="18C69795">
      <w:pPr>
        <w:pStyle w:val="26"/>
      </w:pP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>
      <w:pPr>
        <w:pStyle w:val="26"/>
      </w:pP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cs="Times New Roman" w:eastAsiaTheme="minor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>
      <w:pPr>
        <w:pStyle w:val="26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9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30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 w14:paraId="0602D5C7">
            <w:pPr>
              <w:pStyle w:val="30"/>
            </w:pPr>
            <w:r>
              <w:t>X</w:t>
            </w:r>
          </w:p>
        </w:tc>
        <w:tc>
          <w:tcPr>
            <w:tcW w:w="850" w:type="dxa"/>
          </w:tcPr>
          <w:p w14:paraId="35CFDED4">
            <w:pPr>
              <w:pStyle w:val="30"/>
            </w:pPr>
            <w:r>
              <w:t>X</w:t>
            </w:r>
          </w:p>
        </w:tc>
        <w:tc>
          <w:tcPr>
            <w:tcW w:w="851" w:type="dxa"/>
          </w:tcPr>
          <w:p w14:paraId="02A432F3">
            <w:pPr>
              <w:pStyle w:val="30"/>
            </w:pPr>
          </w:p>
        </w:tc>
        <w:tc>
          <w:tcPr>
            <w:tcW w:w="1752" w:type="dxa"/>
          </w:tcPr>
          <w:p w14:paraId="70435623">
            <w:pPr>
              <w:pStyle w:val="30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30"/>
            </w:pPr>
          </w:p>
        </w:tc>
        <w:tc>
          <w:tcPr>
            <w:tcW w:w="1037" w:type="dxa"/>
          </w:tcPr>
          <w:p w14:paraId="6F19776F">
            <w:pPr>
              <w:pStyle w:val="30"/>
            </w:pPr>
          </w:p>
        </w:tc>
        <w:tc>
          <w:tcPr>
            <w:tcW w:w="850" w:type="dxa"/>
          </w:tcPr>
          <w:p w14:paraId="3F07CB2B">
            <w:pPr>
              <w:pStyle w:val="30"/>
            </w:pPr>
          </w:p>
        </w:tc>
        <w:tc>
          <w:tcPr>
            <w:tcW w:w="851" w:type="dxa"/>
          </w:tcPr>
          <w:p w14:paraId="290A158D">
            <w:pPr>
              <w:pStyle w:val="30"/>
            </w:pPr>
          </w:p>
        </w:tc>
        <w:tc>
          <w:tcPr>
            <w:tcW w:w="1752" w:type="dxa"/>
          </w:tcPr>
          <w:p w14:paraId="02E98F67">
            <w:pPr>
              <w:pStyle w:val="30"/>
            </w:pPr>
            <w:r>
              <w:t>X</w:t>
            </w: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223A3492">
      <w:r>
        <w:t>For a brand-new topic, use “N/A” in the table below. Otherwise indicate the parent Work Item.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8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>
            <w:pPr>
              <w:pStyle w:val="28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>
            <w:pPr>
              <w:pStyle w:val="28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>
            <w:pPr>
              <w:pStyle w:val="28"/>
              <w:rPr>
                <w:highlight w:val="yellow"/>
              </w:rPr>
            </w:pPr>
          </w:p>
        </w:tc>
      </w:tr>
    </w:tbl>
    <w:p w14:paraId="75BA7DCB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9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9"/>
            </w:pPr>
            <w:bookmarkStart w:id="2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9"/>
            </w:pPr>
            <w:r>
              <w:t>Nature of relationship</w:t>
            </w:r>
          </w:p>
        </w:tc>
      </w:tr>
      <w:bookmarkEnd w:id="2"/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1060071</w:t>
            </w:r>
          </w:p>
        </w:tc>
        <w:tc>
          <w:tcPr>
            <w:tcW w:w="3326" w:type="dxa"/>
          </w:tcPr>
          <w:p w14:paraId="3AC061FD">
            <w:pPr>
              <w:pStyle w:val="28"/>
              <w:rPr>
                <w:lang w:val="en-US" w:eastAsia="zh-CN"/>
              </w:rPr>
            </w:pPr>
            <w:r>
              <w:rPr>
                <w:lang w:val="en-US" w:eastAsia="zh-CN"/>
              </w:rPr>
              <w:t>Stage 1 for Satellite access - Phase 4</w:t>
            </w:r>
          </w:p>
        </w:tc>
        <w:tc>
          <w:tcPr>
            <w:tcW w:w="5099" w:type="dxa"/>
          </w:tcPr>
          <w:p w14:paraId="017BF4B1">
            <w:pPr>
              <w:pStyle w:val="26"/>
              <w:rPr>
                <w:lang w:val="en-US" w:eastAsia="zh-CN"/>
              </w:rPr>
            </w:pPr>
            <w:r>
              <w:rPr>
                <w:lang w:val="en-US" w:eastAsia="zh-CN"/>
              </w:rPr>
              <w:t>Defines new services requirements for satellite</w:t>
            </w:r>
            <w:r>
              <w:rPr>
                <w:rFonts w:hint="eastAsia"/>
                <w:lang w:val="en-US" w:eastAsia="zh-CN"/>
              </w:rPr>
              <w:t xml:space="preserve"> access Phase 4</w:t>
            </w:r>
          </w:p>
        </w:tc>
      </w:tr>
      <w:tr w14:paraId="503D28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A27F3DC">
            <w:pPr>
              <w:pStyle w:val="28"/>
              <w:rPr>
                <w:lang w:eastAsia="zh-CN"/>
              </w:rPr>
            </w:pPr>
            <w:r>
              <w:t>1070011</w:t>
            </w:r>
          </w:p>
        </w:tc>
        <w:tc>
          <w:tcPr>
            <w:tcW w:w="3326" w:type="dxa"/>
          </w:tcPr>
          <w:p w14:paraId="657A55AD">
            <w:pPr>
              <w:pStyle w:val="28"/>
              <w:rPr>
                <w:lang w:val="en-US" w:eastAsia="zh-CN"/>
              </w:rPr>
            </w:pPr>
            <w:r>
              <w:rPr>
                <w:lang w:val="en-US" w:eastAsia="zh-CN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45AFA8F9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SA2 Study for </w:t>
            </w:r>
            <w:r>
              <w:rPr>
                <w:lang w:val="en-US" w:eastAsia="zh-CN"/>
              </w:rPr>
              <w:t>satellite access Phase 4</w:t>
            </w:r>
          </w:p>
        </w:tc>
      </w:tr>
    </w:tbl>
    <w:p w14:paraId="52EB3A32">
      <w:pPr>
        <w:pStyle w:val="31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0D7309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In Rel-18 and Rel-19, the following charging principles, information and procedures have been enhanced to support satellite access:</w:t>
      </w:r>
    </w:p>
    <w:p w14:paraId="1E6FD1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en-GB"/>
        </w:rPr>
        <w:t>-</w:t>
      </w:r>
      <w:r>
        <w:rPr>
          <w:rFonts w:hint="eastAsia" w:eastAsia="等线"/>
          <w:lang w:eastAsia="en-GB"/>
        </w:rPr>
        <w:tab/>
      </w:r>
      <w:r>
        <w:rPr>
          <w:rFonts w:eastAsia="等线"/>
          <w:lang w:eastAsia="zh-CN"/>
        </w:rPr>
        <w:t xml:space="preserve">Enhancement of the 5G Data Connectivity </w:t>
      </w:r>
      <w:r>
        <w:rPr>
          <w:rFonts w:hint="eastAsia" w:eastAsia="等线"/>
          <w:lang w:eastAsia="zh-CN"/>
        </w:rPr>
        <w:t xml:space="preserve">and </w:t>
      </w:r>
      <w:r>
        <w:rPr>
          <w:rFonts w:eastAsia="等线"/>
          <w:lang w:eastAsia="zh-CN"/>
        </w:rPr>
        <w:t>5G connection and mobility to support the 5G Satellite access service</w:t>
      </w:r>
      <w:r>
        <w:rPr>
          <w:rFonts w:hint="eastAsia" w:eastAsia="等线"/>
          <w:lang w:eastAsia="zh-CN"/>
        </w:rPr>
        <w:t xml:space="preserve"> in Rel-18.</w:t>
      </w:r>
    </w:p>
    <w:p w14:paraId="7810E7F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Enhancement of the charging principles</w:t>
      </w:r>
      <w:r>
        <w:rPr>
          <w:rFonts w:hint="eastAsia" w:eastAsia="等线"/>
          <w:lang w:eastAsia="zh-CN"/>
        </w:rPr>
        <w:t xml:space="preserve"> and charging information to </w:t>
      </w:r>
      <w:r>
        <w:rPr>
          <w:rFonts w:eastAsia="等线"/>
          <w:lang w:eastAsia="zh-CN"/>
        </w:rPr>
        <w:t>support of store and forward satellite operation</w:t>
      </w:r>
      <w:r>
        <w:rPr>
          <w:rFonts w:hint="eastAsia" w:eastAsia="等线"/>
          <w:lang w:eastAsia="zh-CN"/>
        </w:rPr>
        <w:t xml:space="preserve"> for the EPC in Rel-19.</w:t>
      </w:r>
    </w:p>
    <w:p w14:paraId="5088133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Enhance the roaming charging principle to support transparent satellite access and add the new charging information to support MVNO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which provide satellite communication services</w:t>
      </w:r>
      <w:r>
        <w:rPr>
          <w:rFonts w:hint="eastAsia" w:eastAsia="等线"/>
          <w:lang w:eastAsia="zh-CN"/>
        </w:rPr>
        <w:t xml:space="preserve"> for 5G in Rel-19.</w:t>
      </w:r>
    </w:p>
    <w:p w14:paraId="31DEF52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Enhancement of IMS charging to support UE-Satellite-UE communication</w:t>
      </w:r>
      <w:r>
        <w:t xml:space="preserve"> </w:t>
      </w:r>
      <w:r>
        <w:rPr>
          <w:rFonts w:eastAsia="等线"/>
          <w:lang w:eastAsia="zh-CN"/>
        </w:rPr>
        <w:t>for 5G in Rel-19</w:t>
      </w:r>
      <w:r>
        <w:rPr>
          <w:rFonts w:hint="eastAsia" w:eastAsia="等线"/>
          <w:lang w:eastAsia="zh-CN"/>
        </w:rPr>
        <w:t>.</w:t>
      </w:r>
    </w:p>
    <w:p w14:paraId="5C9E5A3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Enhance the charging principle for SSP to perform wholesale to MNO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>for 5G in Rel-19</w:t>
      </w:r>
      <w:r>
        <w:rPr>
          <w:rFonts w:hint="eastAsia" w:eastAsia="等线"/>
          <w:lang w:eastAsia="zh-CN"/>
        </w:rPr>
        <w:t>.</w:t>
      </w:r>
    </w:p>
    <w:p w14:paraId="29E5869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hint="eastAsia" w:eastAsia="等线"/>
          <w:lang w:eastAsia="zh-CN"/>
        </w:rPr>
        <w:t>n SA1 Rel-20, t</w:t>
      </w:r>
      <w:r>
        <w:rPr>
          <w:rFonts w:eastAsia="等线"/>
          <w:lang w:eastAsia="zh-CN"/>
        </w:rPr>
        <w:t>he following requirements for satellite access have been specified by SA1 in TS 22.261:</w:t>
      </w:r>
    </w:p>
    <w:p w14:paraId="6CCD76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en-GB"/>
        </w:rPr>
        <w:t>-</w:t>
      </w:r>
      <w:r>
        <w:rPr>
          <w:rFonts w:hint="eastAsia" w:eastAsia="等线"/>
          <w:lang w:eastAsia="en-GB"/>
        </w:rPr>
        <w:tab/>
      </w:r>
      <w:r>
        <w:rPr>
          <w:rFonts w:eastAsia="等线"/>
          <w:b/>
          <w:lang w:eastAsia="en-GB"/>
        </w:rPr>
        <w:t>IMS voice using GEO satellite access</w:t>
      </w:r>
      <w:r>
        <w:rPr>
          <w:rFonts w:hint="eastAsia" w:eastAsia="等线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r>
        <w:rPr>
          <w:rFonts w:eastAsia="等线"/>
          <w:lang w:eastAsia="en-GB"/>
        </w:rPr>
        <w:t>The 5G system with GEO satellite access shall be able to support IMS voice communication as defined in TS 22.228.</w:t>
      </w:r>
      <w:r>
        <w:rPr>
          <w:rFonts w:hint="eastAsia" w:eastAsia="等线"/>
          <w:lang w:eastAsia="en-GB"/>
        </w:rPr>
        <w:t xml:space="preserve"> </w:t>
      </w:r>
      <w:r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1902F628">
      <w:pPr>
        <w:pStyle w:val="26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I</w:t>
      </w:r>
      <w:r>
        <w:rPr>
          <w:rFonts w:hint="eastAsia"/>
          <w:i w:val="0"/>
          <w:iCs/>
          <w:lang w:val="en-US" w:eastAsia="zh-CN"/>
        </w:rPr>
        <w:t xml:space="preserve">n SA2 Rel-20, the </w:t>
      </w:r>
      <w:r>
        <w:rPr>
          <w:i w:val="0"/>
          <w:iCs/>
          <w:lang w:val="en-US" w:eastAsia="zh-CN"/>
        </w:rPr>
        <w:t>IMS voice call over GEO via NB-IoT NTN connecting to EPC</w:t>
      </w:r>
      <w:r>
        <w:rPr>
          <w:rFonts w:hint="eastAsia"/>
          <w:i w:val="0"/>
          <w:iCs/>
          <w:lang w:val="en-US" w:eastAsia="zh-CN"/>
        </w:rPr>
        <w:t xml:space="preserve"> has been studied in the TR </w:t>
      </w:r>
      <w:r>
        <w:rPr>
          <w:i w:val="0"/>
          <w:iCs/>
          <w:lang w:val="en-US" w:eastAsia="zh-CN"/>
        </w:rPr>
        <w:t>23.700-19</w:t>
      </w:r>
      <w:r>
        <w:rPr>
          <w:rFonts w:hint="eastAsia"/>
          <w:i w:val="0"/>
          <w:iCs/>
          <w:lang w:val="en-US" w:eastAsia="zh-CN"/>
        </w:rPr>
        <w:t xml:space="preserve">. They have come to a conclusion that the </w:t>
      </w:r>
      <w:r>
        <w:rPr>
          <w:i w:val="0"/>
          <w:iCs/>
          <w:lang w:val="en-US" w:eastAsia="zh-CN"/>
        </w:rPr>
        <w:t>voice packets shall be transported over the NB-IoT (GEO) user plane, i.e.</w:t>
      </w:r>
      <w:r>
        <w:rPr>
          <w:rFonts w:hint="eastAsia"/>
          <w:i w:val="0"/>
          <w:iCs/>
          <w:lang w:val="en-US" w:eastAsia="zh-CN"/>
        </w:rPr>
        <w:t>,</w:t>
      </w:r>
      <w:r>
        <w:rPr>
          <w:i w:val="0"/>
          <w:iCs/>
          <w:lang w:val="en-US" w:eastAsia="zh-CN"/>
        </w:rPr>
        <w:t xml:space="preserve"> using DRB and S1-U.</w:t>
      </w:r>
      <w:r>
        <w:rPr>
          <w:rFonts w:hint="eastAsia"/>
          <w:i w:val="0"/>
          <w:iCs/>
          <w:lang w:val="en-US" w:eastAsia="zh-CN"/>
        </w:rPr>
        <w:t xml:space="preserve"> After the s</w:t>
      </w:r>
      <w:r>
        <w:rPr>
          <w:i w:val="0"/>
          <w:iCs/>
          <w:lang w:val="en-US" w:eastAsia="zh-CN"/>
        </w:rPr>
        <w:t>upport capability negotiation of voice call support over NB-IoT between</w:t>
      </w:r>
      <w:r>
        <w:rPr>
          <w:rFonts w:hint="eastAsia"/>
          <w:i w:val="0"/>
          <w:iCs/>
          <w:lang w:val="en-US" w:eastAsia="zh-CN"/>
        </w:rPr>
        <w:t xml:space="preserve"> UE, EPC and IMS network, the charging trigger function, </w:t>
      </w:r>
      <w:r>
        <w:rPr>
          <w:i w:val="0"/>
          <w:iCs/>
          <w:lang w:val="en-US" w:eastAsia="zh-CN"/>
        </w:rPr>
        <w:t xml:space="preserve">new </w:t>
      </w:r>
      <w:r>
        <w:rPr>
          <w:rFonts w:hint="eastAsia"/>
          <w:i w:val="0"/>
          <w:iCs/>
          <w:lang w:val="en-US" w:eastAsia="zh-CN"/>
        </w:rPr>
        <w:t xml:space="preserve">charging </w:t>
      </w:r>
      <w:r>
        <w:rPr>
          <w:i w:val="0"/>
          <w:iCs/>
          <w:lang w:val="en-US" w:eastAsia="zh-CN"/>
        </w:rPr>
        <w:t>trigger events and charging information to support the IMS voice using GEO satellite access</w:t>
      </w:r>
      <w:r>
        <w:rPr>
          <w:rFonts w:hint="eastAsia"/>
          <w:i w:val="0"/>
          <w:iCs/>
          <w:lang w:val="en-US" w:eastAsia="zh-CN"/>
        </w:rPr>
        <w:t xml:space="preserve"> need to be studied. </w:t>
      </w:r>
    </w:p>
    <w:p w14:paraId="79208764">
      <w:pPr>
        <w:pStyle w:val="26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A</w:t>
      </w:r>
      <w:r>
        <w:rPr>
          <w:i w:val="0"/>
          <w:iCs/>
          <w:lang w:val="en-US" w:eastAsia="zh-CN"/>
        </w:rPr>
        <w:t>dditionally,</w:t>
      </w:r>
      <w:r>
        <w:rPr>
          <w:rFonts w:hint="eastAsia"/>
          <w:i w:val="0"/>
          <w:iCs/>
          <w:lang w:val="en-US" w:eastAsia="zh-CN"/>
        </w:rPr>
        <w:t xml:space="preserve"> the</w:t>
      </w:r>
      <w:r>
        <w:t xml:space="preserve"> </w:t>
      </w:r>
      <w:r>
        <w:rPr>
          <w:i w:val="0"/>
          <w:iCs/>
          <w:lang w:val="en-US" w:eastAsia="zh-CN"/>
        </w:rPr>
        <w:t>requirements</w:t>
      </w:r>
      <w:r>
        <w:rPr>
          <w:rFonts w:hint="eastAsia"/>
          <w:i w:val="0"/>
          <w:iCs/>
          <w:lang w:val="en-US" w:eastAsia="zh-CN"/>
        </w:rPr>
        <w:t xml:space="preserve"> for supporting UE-satellite-UE communication </w:t>
      </w:r>
      <w:r>
        <w:rPr>
          <w:i w:val="0"/>
          <w:iCs/>
          <w:lang w:val="en-US" w:eastAsia="zh-CN"/>
        </w:rPr>
        <w:t>have been specified by SA1</w:t>
      </w:r>
      <w:r>
        <w:rPr>
          <w:rFonts w:hint="eastAsia"/>
          <w:i w:val="0"/>
          <w:iCs/>
          <w:lang w:val="en-US" w:eastAsia="zh-CN"/>
        </w:rPr>
        <w:t xml:space="preserve"> in the TS 22.261. The</w:t>
      </w:r>
      <w:r>
        <w:rPr>
          <w:i w:val="0"/>
          <w:iCs/>
          <w:lang w:val="en-US" w:eastAsia="zh-CN"/>
        </w:rPr>
        <w:t xml:space="preserve"> satellite communication market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has 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val="en-US" w:eastAsia="zh-CN"/>
        </w:rPr>
        <w:t xml:space="preserve">support UE-satellite-UE communication for non-IMS services (e.g., 5G-LAN) when UEs are accessing network via NGSO satellite access, </w:t>
      </w:r>
      <w:r>
        <w:rPr>
          <w:rFonts w:hint="eastAsia"/>
          <w:i w:val="0"/>
          <w:iCs/>
          <w:lang w:val="en-US" w:eastAsia="zh-CN"/>
        </w:rPr>
        <w:t xml:space="preserve">which is not supported by the </w:t>
      </w:r>
      <w:r>
        <w:rPr>
          <w:i w:val="0"/>
          <w:iCs/>
          <w:lang w:val="en-US" w:eastAsia="zh-CN"/>
        </w:rPr>
        <w:t>current spec</w:t>
      </w:r>
      <w:r>
        <w:rPr>
          <w:rFonts w:hint="eastAsia"/>
          <w:i w:val="0"/>
          <w:iCs/>
          <w:lang w:val="en-US" w:eastAsia="zh-CN"/>
        </w:rPr>
        <w:t>ifications</w:t>
      </w:r>
      <w:r>
        <w:rPr>
          <w:i w:val="0"/>
          <w:iCs/>
          <w:lang w:val="en-US" w:eastAsia="zh-CN"/>
        </w:rPr>
        <w:t>.</w:t>
      </w:r>
      <w:r>
        <w:t xml:space="preserve"> </w:t>
      </w:r>
      <w:r>
        <w:rPr>
          <w:i w:val="0"/>
          <w:iCs/>
          <w:lang w:val="en-US" w:eastAsia="zh-CN"/>
        </w:rPr>
        <w:t>Therefore,</w:t>
      </w:r>
      <w:r>
        <w:t xml:space="preserve"> </w:t>
      </w:r>
      <w:r>
        <w:rPr>
          <w:i w:val="0"/>
          <w:iCs/>
          <w:lang w:val="en-US" w:eastAsia="zh-CN"/>
        </w:rPr>
        <w:t>the charging information for a UE registered</w:t>
      </w:r>
      <w:r>
        <w:rPr>
          <w:rFonts w:hint="eastAsia"/>
          <w:i w:val="0"/>
          <w:iCs/>
          <w:lang w:val="en-US" w:eastAsia="zh-CN"/>
        </w:rPr>
        <w:t xml:space="preserve"> with non-IMS services</w:t>
      </w:r>
      <w:r>
        <w:rPr>
          <w:i w:val="0"/>
          <w:iCs/>
          <w:lang w:val="en-US" w:eastAsia="zh-CN"/>
        </w:rPr>
        <w:t xml:space="preserve"> for UE-Satellite-UE communication needs to be studied. </w:t>
      </w:r>
    </w:p>
    <w:p w14:paraId="3794E3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hint="eastAsia"/>
          <w:lang w:eastAsia="zh-CN"/>
        </w:rPr>
        <w:t>Therefore, t</w:t>
      </w:r>
      <w:r>
        <w:rPr>
          <w:rFonts w:eastAsia="Times New Roman"/>
          <w:lang w:eastAsia="en-GB"/>
        </w:rPr>
        <w:t>here can be a number of charging scenarios in</w:t>
      </w:r>
      <w:r>
        <w:rPr>
          <w:rFonts w:hint="eastAsia" w:eastAsia="Times New Roman"/>
          <w:lang w:eastAsia="en-GB"/>
        </w:rPr>
        <w:t xml:space="preserve"> satellite</w:t>
      </w:r>
      <w:r>
        <w:rPr>
          <w:rFonts w:eastAsia="Times New Roman"/>
          <w:lang w:eastAsia="en-GB"/>
        </w:rPr>
        <w:t xml:space="preserve"> charging aspect as following:</w:t>
      </w:r>
    </w:p>
    <w:p w14:paraId="63DC09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End user charging when the IMS voice call over GEO via NB-IoT NTN connecting to EPC</w:t>
      </w:r>
    </w:p>
    <w:p w14:paraId="100BFF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Charging for UE-satellite-UE communication related to </w:t>
      </w:r>
      <w:r>
        <w:rPr>
          <w:rFonts w:hint="eastAsia"/>
          <w:lang w:eastAsia="zh-CN"/>
        </w:rPr>
        <w:t>non-</w:t>
      </w:r>
      <w:r>
        <w:rPr>
          <w:lang w:eastAsia="zh-CN"/>
        </w:rPr>
        <w:t>IMS voice</w:t>
      </w:r>
    </w:p>
    <w:p w14:paraId="12934A45">
      <w:pPr>
        <w:pStyle w:val="26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Based on the above information, the enhancement to the charging aspect of satellite access phase 4 needs to be studied.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48DCEE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3" w:name="OLE_LINK2"/>
      <w:bookmarkStart w:id="4" w:name="OLE_LINK1"/>
      <w:r>
        <w:rPr>
          <w:rFonts w:eastAsia="宋体"/>
          <w:lang w:eastAsia="zh-CN"/>
        </w:rPr>
        <w:t xml:space="preserve">This study item is to investigate the following aspects for the satellite access in 5GS phase </w:t>
      </w: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>:</w:t>
      </w:r>
    </w:p>
    <w:p w14:paraId="49ADE8E8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</w:t>
      </w:r>
      <w:r>
        <w:rPr>
          <w:lang w:eastAsia="zh-CN"/>
        </w:rPr>
        <w:t>Charging for IMS voice call over GEO via NB-IoT NTN connecting to EPC</w:t>
      </w:r>
    </w:p>
    <w:p w14:paraId="7C5BAB6C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WT-2: </w:t>
      </w:r>
      <w:r>
        <w:rPr>
          <w:lang w:eastAsia="zh-CN"/>
        </w:rPr>
        <w:t>Charging for UE-satellite-UE communication related to non-IMS voice via NGSO satellite access</w:t>
      </w:r>
    </w:p>
    <w:bookmarkEnd w:id="3"/>
    <w:bookmarkEnd w:id="4"/>
    <w:p w14:paraId="46F31E47">
      <w:pPr>
        <w:rPr>
          <w:lang w:val="en-US" w:eastAsia="zh-CN"/>
        </w:rPr>
      </w:pPr>
    </w:p>
    <w:p w14:paraId="20E1DF6C">
      <w:pPr>
        <w:pStyle w:val="3"/>
        <w:rPr>
          <w:lang w:eastAsia="ja-JP"/>
        </w:rPr>
      </w:pPr>
      <w:r>
        <w:t>TU estimates and dependencies</w:t>
      </w:r>
    </w:p>
    <w:p w14:paraId="1444F2FA">
      <w:pPr>
        <w:spacing w:after="120"/>
      </w:pPr>
    </w:p>
    <w:tbl>
      <w:tblPr>
        <w:tblStyle w:val="16"/>
        <w:tblpPr w:leftFromText="180" w:rightFromText="180" w:vertAnchor="text" w:horzAnchor="page" w:tblpX="1280" w:tblpY="34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166"/>
        <w:gridCol w:w="1605"/>
        <w:gridCol w:w="1605"/>
        <w:gridCol w:w="2003"/>
        <w:gridCol w:w="1984"/>
      </w:tblGrid>
      <w:tr w14:paraId="69731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63D0A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F8D0">
            <w:pPr>
              <w:spacing w:after="120"/>
            </w:pPr>
            <w:r>
              <w:t>TU Estimate</w:t>
            </w:r>
          </w:p>
          <w:p w14:paraId="7D3B6BF7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BB03A">
            <w:pPr>
              <w:spacing w:after="120"/>
            </w:pPr>
            <w:r>
              <w:t>TU Estimate</w:t>
            </w:r>
          </w:p>
          <w:p w14:paraId="76199B42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D285A">
            <w:pPr>
              <w:spacing w:after="120"/>
            </w:pPr>
            <w:r>
              <w:t>RAN Dependency</w:t>
            </w:r>
          </w:p>
          <w:p w14:paraId="2B4CB497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26AD6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6AE8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>
            <w:pPr>
              <w:spacing w:after="120"/>
            </w:pPr>
            <w:r>
              <w:t>(Yes/No/Maybe)</w:t>
            </w:r>
          </w:p>
        </w:tc>
      </w:tr>
      <w:tr w14:paraId="78EB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8AF336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1F8DA1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22B0F8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E12C2F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F8C6E5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4FF2D2C">
            <w:pPr>
              <w:spacing w:after="120"/>
            </w:pPr>
            <w:r>
              <w:t>No</w:t>
            </w:r>
          </w:p>
        </w:tc>
      </w:tr>
      <w:tr w14:paraId="2035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FFFB33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2E255C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A6B42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7AAD6B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90413B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BA4D5">
            <w:pPr>
              <w:spacing w:after="120"/>
            </w:pPr>
            <w:r>
              <w:t>No</w:t>
            </w:r>
          </w:p>
        </w:tc>
      </w:tr>
    </w:tbl>
    <w:p w14:paraId="759134D4">
      <w:pPr>
        <w:spacing w:after="120"/>
      </w:pPr>
    </w:p>
    <w:p w14:paraId="28EFCCF3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4</w:t>
      </w:r>
    </w:p>
    <w:p w14:paraId="12964931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4</w:t>
      </w:r>
    </w:p>
    <w:p w14:paraId="2A829825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8</w:t>
      </w:r>
    </w:p>
    <w:p w14:paraId="3D4047F2">
      <w:pPr>
        <w:spacing w:after="120"/>
      </w:pP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9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194449B4"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Study on Charging Aspects of </w:t>
            </w:r>
            <w:r>
              <w:rPr>
                <w:i w:val="0"/>
                <w:iCs/>
                <w:lang w:eastAsia="zh-CN"/>
              </w:rPr>
              <w:t>satellite access phase 4</w:t>
            </w:r>
          </w:p>
        </w:tc>
        <w:tc>
          <w:tcPr>
            <w:tcW w:w="993" w:type="dxa"/>
          </w:tcPr>
          <w:p w14:paraId="060C3F75"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112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113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Sep. 2026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>
            <w:pPr>
              <w:pStyle w:val="26"/>
              <w:spacing w:after="0"/>
              <w:rPr>
                <w:i w:val="0"/>
                <w:iCs/>
              </w:rPr>
            </w:pPr>
          </w:p>
        </w:tc>
      </w:tr>
      <w:tr w14:paraId="25DF0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E4E69CF">
            <w:pPr>
              <w:pStyle w:val="26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1134" w:type="dxa"/>
          </w:tcPr>
          <w:p w14:paraId="513E2C80"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</w:p>
        </w:tc>
        <w:tc>
          <w:tcPr>
            <w:tcW w:w="2409" w:type="dxa"/>
          </w:tcPr>
          <w:p w14:paraId="593DFF8B">
            <w:pPr>
              <w:pStyle w:val="26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993" w:type="dxa"/>
          </w:tcPr>
          <w:p w14:paraId="3A81578E">
            <w:pPr>
              <w:pStyle w:val="26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0F08B72F">
            <w:pPr>
              <w:pStyle w:val="26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2186" w:type="dxa"/>
          </w:tcPr>
          <w:p w14:paraId="5C683C52">
            <w:pPr>
              <w:pStyle w:val="26"/>
              <w:spacing w:after="0"/>
              <w:rPr>
                <w:i w:val="0"/>
                <w:iCs/>
              </w:rPr>
            </w:pPr>
          </w:p>
        </w:tc>
      </w:tr>
    </w:tbl>
    <w:p w14:paraId="7EC5BA9E">
      <w:pPr>
        <w:pStyle w:val="31"/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>
      <w:pPr>
        <w:rPr>
          <w:lang w:eastAsia="zh-CN"/>
        </w:rPr>
      </w:pP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1B45AD0">
      <w:pPr>
        <w:rPr>
          <w:lang w:eastAsia="zh-CN"/>
        </w:rPr>
      </w:pPr>
      <w:r>
        <w:rPr>
          <w:lang w:eastAsia="zh-CN"/>
        </w:rPr>
        <w:t>Dependency on the progress of SA2.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9"/>
            </w:pPr>
            <w:r>
              <w:t>Supporting IM name</w:t>
            </w:r>
          </w:p>
        </w:tc>
      </w:tr>
      <w:tr w14:paraId="15549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8411F2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4B08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9820A8E"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14:paraId="7EA34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325DD33">
            <w:pPr>
              <w:pStyle w:val="28"/>
              <w:rPr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14:paraId="0365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3B6B5B3">
            <w:pPr>
              <w:pStyle w:val="28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14:paraId="358CC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3ECFC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14:paraId="59EE1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336D74B">
            <w:pPr>
              <w:pStyle w:val="28"/>
              <w:rPr>
                <w:lang w:val="en-US" w:eastAsia="zh-CN"/>
              </w:rPr>
            </w:pPr>
            <w:r>
              <w:rPr>
                <w:lang w:val="en-US" w:eastAsia="zh-CN"/>
              </w:rPr>
              <w:t>MATRIXX Software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5F41A52D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</w:tbl>
    <w:p w14:paraId="30E19F71"/>
    <w:bookmarkEnd w:id="0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5254D8"/>
    <w:multiLevelType w:val="multilevel"/>
    <w:tmpl w:val="385254D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6AAA"/>
    <w:rsid w:val="00007246"/>
    <w:rsid w:val="000164C8"/>
    <w:rsid w:val="0002191A"/>
    <w:rsid w:val="000234E8"/>
    <w:rsid w:val="000261CE"/>
    <w:rsid w:val="00027A0E"/>
    <w:rsid w:val="0003016C"/>
    <w:rsid w:val="00030CD4"/>
    <w:rsid w:val="00032E3D"/>
    <w:rsid w:val="000344A1"/>
    <w:rsid w:val="00042051"/>
    <w:rsid w:val="0004407A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77ACB"/>
    <w:rsid w:val="0008781E"/>
    <w:rsid w:val="00094F23"/>
    <w:rsid w:val="000967F4"/>
    <w:rsid w:val="000A6432"/>
    <w:rsid w:val="000B4446"/>
    <w:rsid w:val="000C6D9F"/>
    <w:rsid w:val="000C7AE6"/>
    <w:rsid w:val="000D6D78"/>
    <w:rsid w:val="000E0429"/>
    <w:rsid w:val="000E0437"/>
    <w:rsid w:val="000E3F22"/>
    <w:rsid w:val="000E4130"/>
    <w:rsid w:val="000E6F9C"/>
    <w:rsid w:val="000F648D"/>
    <w:rsid w:val="000F6E51"/>
    <w:rsid w:val="001001E4"/>
    <w:rsid w:val="00102A24"/>
    <w:rsid w:val="001079D1"/>
    <w:rsid w:val="0012000C"/>
    <w:rsid w:val="001244C2"/>
    <w:rsid w:val="0013142D"/>
    <w:rsid w:val="0013207D"/>
    <w:rsid w:val="0013259C"/>
    <w:rsid w:val="00132630"/>
    <w:rsid w:val="00133DAB"/>
    <w:rsid w:val="00135831"/>
    <w:rsid w:val="00135BFA"/>
    <w:rsid w:val="001376A6"/>
    <w:rsid w:val="0014137F"/>
    <w:rsid w:val="001424CD"/>
    <w:rsid w:val="0014389B"/>
    <w:rsid w:val="0014413C"/>
    <w:rsid w:val="00150C36"/>
    <w:rsid w:val="00154345"/>
    <w:rsid w:val="00157F50"/>
    <w:rsid w:val="00157FFB"/>
    <w:rsid w:val="001607AE"/>
    <w:rsid w:val="001656C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12FD"/>
    <w:rsid w:val="001A1D68"/>
    <w:rsid w:val="001A31EF"/>
    <w:rsid w:val="001A3E7E"/>
    <w:rsid w:val="001A717D"/>
    <w:rsid w:val="001A7E53"/>
    <w:rsid w:val="001B01F1"/>
    <w:rsid w:val="001B09D9"/>
    <w:rsid w:val="001B0A97"/>
    <w:rsid w:val="001B0E09"/>
    <w:rsid w:val="001B19F7"/>
    <w:rsid w:val="001B2414"/>
    <w:rsid w:val="001B5421"/>
    <w:rsid w:val="001B650D"/>
    <w:rsid w:val="001B6FE6"/>
    <w:rsid w:val="001C0312"/>
    <w:rsid w:val="001C3048"/>
    <w:rsid w:val="001C41E6"/>
    <w:rsid w:val="001C4D9B"/>
    <w:rsid w:val="001C5A16"/>
    <w:rsid w:val="001D0B09"/>
    <w:rsid w:val="001D33CA"/>
    <w:rsid w:val="001E1700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51BF"/>
    <w:rsid w:val="0024563C"/>
    <w:rsid w:val="00250F58"/>
    <w:rsid w:val="00251AC3"/>
    <w:rsid w:val="00253892"/>
    <w:rsid w:val="00253ACD"/>
    <w:rsid w:val="002541D3"/>
    <w:rsid w:val="00256429"/>
    <w:rsid w:val="0026253E"/>
    <w:rsid w:val="00265C9B"/>
    <w:rsid w:val="00267212"/>
    <w:rsid w:val="00271186"/>
    <w:rsid w:val="00272D61"/>
    <w:rsid w:val="00284769"/>
    <w:rsid w:val="002919B7"/>
    <w:rsid w:val="00291EF2"/>
    <w:rsid w:val="00295D61"/>
    <w:rsid w:val="002966E2"/>
    <w:rsid w:val="00297C1F"/>
    <w:rsid w:val="002A08F9"/>
    <w:rsid w:val="002B074C"/>
    <w:rsid w:val="002B2FE7"/>
    <w:rsid w:val="002B34EA"/>
    <w:rsid w:val="002B5361"/>
    <w:rsid w:val="002B7167"/>
    <w:rsid w:val="002C19D3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1254"/>
    <w:rsid w:val="00313F3E"/>
    <w:rsid w:val="00320536"/>
    <w:rsid w:val="003219F4"/>
    <w:rsid w:val="00325E33"/>
    <w:rsid w:val="003275E6"/>
    <w:rsid w:val="0033028C"/>
    <w:rsid w:val="003542C3"/>
    <w:rsid w:val="00354553"/>
    <w:rsid w:val="003573E2"/>
    <w:rsid w:val="00362647"/>
    <w:rsid w:val="00364D48"/>
    <w:rsid w:val="003715B7"/>
    <w:rsid w:val="00374446"/>
    <w:rsid w:val="00376C60"/>
    <w:rsid w:val="00377470"/>
    <w:rsid w:val="0038572D"/>
    <w:rsid w:val="00390529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607"/>
    <w:rsid w:val="00406B90"/>
    <w:rsid w:val="00411339"/>
    <w:rsid w:val="004131BD"/>
    <w:rsid w:val="004159BE"/>
    <w:rsid w:val="00415BAE"/>
    <w:rsid w:val="00416CEA"/>
    <w:rsid w:val="00421AFD"/>
    <w:rsid w:val="00423ECC"/>
    <w:rsid w:val="004246F2"/>
    <w:rsid w:val="00427D53"/>
    <w:rsid w:val="00430D50"/>
    <w:rsid w:val="00432048"/>
    <w:rsid w:val="004427B0"/>
    <w:rsid w:val="00442C65"/>
    <w:rsid w:val="00446161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320"/>
    <w:rsid w:val="00484421"/>
    <w:rsid w:val="004864D6"/>
    <w:rsid w:val="00491391"/>
    <w:rsid w:val="00493F73"/>
    <w:rsid w:val="00496A59"/>
    <w:rsid w:val="004A01BD"/>
    <w:rsid w:val="004A0A73"/>
    <w:rsid w:val="004A180A"/>
    <w:rsid w:val="004A661C"/>
    <w:rsid w:val="004A7DA4"/>
    <w:rsid w:val="004B305F"/>
    <w:rsid w:val="004C2671"/>
    <w:rsid w:val="004C4C9B"/>
    <w:rsid w:val="004C6A8A"/>
    <w:rsid w:val="004D2FA0"/>
    <w:rsid w:val="004D534E"/>
    <w:rsid w:val="004D63B4"/>
    <w:rsid w:val="004E1010"/>
    <w:rsid w:val="004E2E3A"/>
    <w:rsid w:val="004E4D7D"/>
    <w:rsid w:val="004F096F"/>
    <w:rsid w:val="004F4172"/>
    <w:rsid w:val="005008AB"/>
    <w:rsid w:val="0050182F"/>
    <w:rsid w:val="0050202A"/>
    <w:rsid w:val="00507903"/>
    <w:rsid w:val="00513943"/>
    <w:rsid w:val="005151DD"/>
    <w:rsid w:val="0051580B"/>
    <w:rsid w:val="00515CB7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631E7"/>
    <w:rsid w:val="0057401B"/>
    <w:rsid w:val="00574DF5"/>
    <w:rsid w:val="00577727"/>
    <w:rsid w:val="005777AF"/>
    <w:rsid w:val="00583238"/>
    <w:rsid w:val="00585255"/>
    <w:rsid w:val="00586562"/>
    <w:rsid w:val="00590B24"/>
    <w:rsid w:val="00591C0A"/>
    <w:rsid w:val="00593DC4"/>
    <w:rsid w:val="0059529B"/>
    <w:rsid w:val="005954DD"/>
    <w:rsid w:val="005A3249"/>
    <w:rsid w:val="005A3EEA"/>
    <w:rsid w:val="005A4FEC"/>
    <w:rsid w:val="005A6ABC"/>
    <w:rsid w:val="005B1577"/>
    <w:rsid w:val="005B2109"/>
    <w:rsid w:val="005B35A2"/>
    <w:rsid w:val="005C0CC6"/>
    <w:rsid w:val="005C0FFC"/>
    <w:rsid w:val="005C3F71"/>
    <w:rsid w:val="005C45C8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ADF"/>
    <w:rsid w:val="00616E18"/>
    <w:rsid w:val="006179F4"/>
    <w:rsid w:val="00620287"/>
    <w:rsid w:val="006217D9"/>
    <w:rsid w:val="00621C4C"/>
    <w:rsid w:val="00623AED"/>
    <w:rsid w:val="0062580F"/>
    <w:rsid w:val="00630A77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67616"/>
    <w:rsid w:val="0067034F"/>
    <w:rsid w:val="00672841"/>
    <w:rsid w:val="006739D9"/>
    <w:rsid w:val="0067616E"/>
    <w:rsid w:val="0067697D"/>
    <w:rsid w:val="00680C37"/>
    <w:rsid w:val="00690725"/>
    <w:rsid w:val="0069121A"/>
    <w:rsid w:val="00693606"/>
    <w:rsid w:val="00693D70"/>
    <w:rsid w:val="006943CA"/>
    <w:rsid w:val="006949C0"/>
    <w:rsid w:val="006975AE"/>
    <w:rsid w:val="006A0E66"/>
    <w:rsid w:val="006A32D1"/>
    <w:rsid w:val="006A3CF5"/>
    <w:rsid w:val="006B163C"/>
    <w:rsid w:val="006B23E2"/>
    <w:rsid w:val="006B4BC6"/>
    <w:rsid w:val="006C310C"/>
    <w:rsid w:val="006C66BD"/>
    <w:rsid w:val="006C74A6"/>
    <w:rsid w:val="006D03E2"/>
    <w:rsid w:val="006D0A8E"/>
    <w:rsid w:val="006D3501"/>
    <w:rsid w:val="006D3D54"/>
    <w:rsid w:val="006E0D1B"/>
    <w:rsid w:val="006E1233"/>
    <w:rsid w:val="006E1A49"/>
    <w:rsid w:val="006E3A55"/>
    <w:rsid w:val="006F1AA9"/>
    <w:rsid w:val="006F1B00"/>
    <w:rsid w:val="006F2EEB"/>
    <w:rsid w:val="006F4B7A"/>
    <w:rsid w:val="00700683"/>
    <w:rsid w:val="00700A59"/>
    <w:rsid w:val="007020F1"/>
    <w:rsid w:val="00710142"/>
    <w:rsid w:val="00711568"/>
    <w:rsid w:val="00712E81"/>
    <w:rsid w:val="00714297"/>
    <w:rsid w:val="00715590"/>
    <w:rsid w:val="007156EA"/>
    <w:rsid w:val="00722221"/>
    <w:rsid w:val="00723919"/>
    <w:rsid w:val="007261D3"/>
    <w:rsid w:val="00731F6A"/>
    <w:rsid w:val="00733E86"/>
    <w:rsid w:val="00735487"/>
    <w:rsid w:val="007421FF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091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0422A"/>
    <w:rsid w:val="0081525A"/>
    <w:rsid w:val="008204ED"/>
    <w:rsid w:val="00830BF3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83877"/>
    <w:rsid w:val="00897B74"/>
    <w:rsid w:val="00897C84"/>
    <w:rsid w:val="008A06BE"/>
    <w:rsid w:val="008A210B"/>
    <w:rsid w:val="008A2BBB"/>
    <w:rsid w:val="008A56FD"/>
    <w:rsid w:val="008B1308"/>
    <w:rsid w:val="008B5C66"/>
    <w:rsid w:val="008C439F"/>
    <w:rsid w:val="008D3DA6"/>
    <w:rsid w:val="008D5DA3"/>
    <w:rsid w:val="008E2B2D"/>
    <w:rsid w:val="008E70F7"/>
    <w:rsid w:val="008F01D5"/>
    <w:rsid w:val="008F1D3B"/>
    <w:rsid w:val="008F4075"/>
    <w:rsid w:val="008F4D31"/>
    <w:rsid w:val="008F7444"/>
    <w:rsid w:val="008F7A15"/>
    <w:rsid w:val="00900EB7"/>
    <w:rsid w:val="009054BE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11B4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2540"/>
    <w:rsid w:val="009F3367"/>
    <w:rsid w:val="009F3E70"/>
    <w:rsid w:val="009F50A9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3DB9"/>
    <w:rsid w:val="00A24557"/>
    <w:rsid w:val="00A248B2"/>
    <w:rsid w:val="00A267D7"/>
    <w:rsid w:val="00A27A64"/>
    <w:rsid w:val="00A37F80"/>
    <w:rsid w:val="00A42B7B"/>
    <w:rsid w:val="00A46B3F"/>
    <w:rsid w:val="00A46F30"/>
    <w:rsid w:val="00A5339D"/>
    <w:rsid w:val="00A56C46"/>
    <w:rsid w:val="00A61169"/>
    <w:rsid w:val="00A63024"/>
    <w:rsid w:val="00A65602"/>
    <w:rsid w:val="00A66427"/>
    <w:rsid w:val="00A76525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0078"/>
    <w:rsid w:val="00AF4118"/>
    <w:rsid w:val="00B00077"/>
    <w:rsid w:val="00B0082D"/>
    <w:rsid w:val="00B03107"/>
    <w:rsid w:val="00B10820"/>
    <w:rsid w:val="00B112ED"/>
    <w:rsid w:val="00B134F7"/>
    <w:rsid w:val="00B16E03"/>
    <w:rsid w:val="00B1749C"/>
    <w:rsid w:val="00B25E21"/>
    <w:rsid w:val="00B260E9"/>
    <w:rsid w:val="00B30214"/>
    <w:rsid w:val="00B334C3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1F9"/>
    <w:rsid w:val="00B5557E"/>
    <w:rsid w:val="00B63284"/>
    <w:rsid w:val="00B654F3"/>
    <w:rsid w:val="00B70B01"/>
    <w:rsid w:val="00B75CE0"/>
    <w:rsid w:val="00B84B54"/>
    <w:rsid w:val="00B92B0A"/>
    <w:rsid w:val="00B92C7D"/>
    <w:rsid w:val="00B93BB2"/>
    <w:rsid w:val="00B952DA"/>
    <w:rsid w:val="00B9697B"/>
    <w:rsid w:val="00BA3B98"/>
    <w:rsid w:val="00BA3CBE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9DA"/>
    <w:rsid w:val="00BC5AF6"/>
    <w:rsid w:val="00BD3369"/>
    <w:rsid w:val="00BD3E51"/>
    <w:rsid w:val="00BD3F07"/>
    <w:rsid w:val="00BE3E87"/>
    <w:rsid w:val="00BE53B3"/>
    <w:rsid w:val="00BF0A84"/>
    <w:rsid w:val="00BF4326"/>
    <w:rsid w:val="00BF5B1D"/>
    <w:rsid w:val="00C03706"/>
    <w:rsid w:val="00C0381B"/>
    <w:rsid w:val="00C03F46"/>
    <w:rsid w:val="00C10D5C"/>
    <w:rsid w:val="00C134D1"/>
    <w:rsid w:val="00C13CE8"/>
    <w:rsid w:val="00C147C4"/>
    <w:rsid w:val="00C159BC"/>
    <w:rsid w:val="00C15A54"/>
    <w:rsid w:val="00C2214E"/>
    <w:rsid w:val="00C22335"/>
    <w:rsid w:val="00C247CD"/>
    <w:rsid w:val="00C2519B"/>
    <w:rsid w:val="00C278EB"/>
    <w:rsid w:val="00C30971"/>
    <w:rsid w:val="00C3721C"/>
    <w:rsid w:val="00C3782E"/>
    <w:rsid w:val="00C404D1"/>
    <w:rsid w:val="00C40F12"/>
    <w:rsid w:val="00C4126E"/>
    <w:rsid w:val="00C4169C"/>
    <w:rsid w:val="00C42176"/>
    <w:rsid w:val="00C42344"/>
    <w:rsid w:val="00C46482"/>
    <w:rsid w:val="00C505EB"/>
    <w:rsid w:val="00C52914"/>
    <w:rsid w:val="00C53B3D"/>
    <w:rsid w:val="00C5567D"/>
    <w:rsid w:val="00C573A9"/>
    <w:rsid w:val="00C5769C"/>
    <w:rsid w:val="00C63F06"/>
    <w:rsid w:val="00C6570B"/>
    <w:rsid w:val="00C6590B"/>
    <w:rsid w:val="00C7131F"/>
    <w:rsid w:val="00C7544D"/>
    <w:rsid w:val="00C76753"/>
    <w:rsid w:val="00C8586A"/>
    <w:rsid w:val="00C875D5"/>
    <w:rsid w:val="00C91185"/>
    <w:rsid w:val="00C94688"/>
    <w:rsid w:val="00CA0562"/>
    <w:rsid w:val="00CA15CE"/>
    <w:rsid w:val="00CA29BD"/>
    <w:rsid w:val="00CA2B4F"/>
    <w:rsid w:val="00CA5819"/>
    <w:rsid w:val="00CA5DB0"/>
    <w:rsid w:val="00CB02D5"/>
    <w:rsid w:val="00CB1387"/>
    <w:rsid w:val="00CB1D99"/>
    <w:rsid w:val="00CC084E"/>
    <w:rsid w:val="00CC58ED"/>
    <w:rsid w:val="00CD5D79"/>
    <w:rsid w:val="00CE222E"/>
    <w:rsid w:val="00CE48BD"/>
    <w:rsid w:val="00CE4BF9"/>
    <w:rsid w:val="00CF1440"/>
    <w:rsid w:val="00D0135E"/>
    <w:rsid w:val="00D105AE"/>
    <w:rsid w:val="00D145EC"/>
    <w:rsid w:val="00D17529"/>
    <w:rsid w:val="00D17922"/>
    <w:rsid w:val="00D23177"/>
    <w:rsid w:val="00D27429"/>
    <w:rsid w:val="00D27857"/>
    <w:rsid w:val="00D32637"/>
    <w:rsid w:val="00D33449"/>
    <w:rsid w:val="00D355FB"/>
    <w:rsid w:val="00D43C0B"/>
    <w:rsid w:val="00D44A74"/>
    <w:rsid w:val="00D45527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4F21"/>
    <w:rsid w:val="00D95EAB"/>
    <w:rsid w:val="00D974EA"/>
    <w:rsid w:val="00DA29AC"/>
    <w:rsid w:val="00DA2EC5"/>
    <w:rsid w:val="00DA329A"/>
    <w:rsid w:val="00DA5756"/>
    <w:rsid w:val="00DA6440"/>
    <w:rsid w:val="00DB4997"/>
    <w:rsid w:val="00DB521B"/>
    <w:rsid w:val="00DC0F52"/>
    <w:rsid w:val="00DC4726"/>
    <w:rsid w:val="00DC53C8"/>
    <w:rsid w:val="00DC60ED"/>
    <w:rsid w:val="00DD0AAB"/>
    <w:rsid w:val="00DD3C66"/>
    <w:rsid w:val="00DD40D2"/>
    <w:rsid w:val="00DE0DD5"/>
    <w:rsid w:val="00DE5917"/>
    <w:rsid w:val="00DE5BBF"/>
    <w:rsid w:val="00DF01BE"/>
    <w:rsid w:val="00DF199A"/>
    <w:rsid w:val="00E013A9"/>
    <w:rsid w:val="00E03A99"/>
    <w:rsid w:val="00E041CD"/>
    <w:rsid w:val="00E06534"/>
    <w:rsid w:val="00E066FB"/>
    <w:rsid w:val="00E126A5"/>
    <w:rsid w:val="00E1463F"/>
    <w:rsid w:val="00E2307B"/>
    <w:rsid w:val="00E235BF"/>
    <w:rsid w:val="00E31EFE"/>
    <w:rsid w:val="00E34AA9"/>
    <w:rsid w:val="00E363A9"/>
    <w:rsid w:val="00E36A50"/>
    <w:rsid w:val="00E411C7"/>
    <w:rsid w:val="00E413E0"/>
    <w:rsid w:val="00E4272E"/>
    <w:rsid w:val="00E528D0"/>
    <w:rsid w:val="00E53AE3"/>
    <w:rsid w:val="00E5574A"/>
    <w:rsid w:val="00E64FB2"/>
    <w:rsid w:val="00E6791E"/>
    <w:rsid w:val="00E67B7D"/>
    <w:rsid w:val="00E711D9"/>
    <w:rsid w:val="00E7764B"/>
    <w:rsid w:val="00E81E2C"/>
    <w:rsid w:val="00E82FBF"/>
    <w:rsid w:val="00E90BD7"/>
    <w:rsid w:val="00EA28F7"/>
    <w:rsid w:val="00EA2EDD"/>
    <w:rsid w:val="00EA481D"/>
    <w:rsid w:val="00EA662E"/>
    <w:rsid w:val="00EB5D2F"/>
    <w:rsid w:val="00EB6568"/>
    <w:rsid w:val="00EC10EC"/>
    <w:rsid w:val="00EC14CF"/>
    <w:rsid w:val="00EC456C"/>
    <w:rsid w:val="00EC4C19"/>
    <w:rsid w:val="00EC62DC"/>
    <w:rsid w:val="00ED166C"/>
    <w:rsid w:val="00ED5FA6"/>
    <w:rsid w:val="00ED6080"/>
    <w:rsid w:val="00ED6CB2"/>
    <w:rsid w:val="00EE0176"/>
    <w:rsid w:val="00EE120F"/>
    <w:rsid w:val="00EE6ECE"/>
    <w:rsid w:val="00EE7EB7"/>
    <w:rsid w:val="00EF0942"/>
    <w:rsid w:val="00EF21ED"/>
    <w:rsid w:val="00EF291F"/>
    <w:rsid w:val="00EF40A4"/>
    <w:rsid w:val="00EF64F2"/>
    <w:rsid w:val="00F015EA"/>
    <w:rsid w:val="00F0218C"/>
    <w:rsid w:val="00F0251A"/>
    <w:rsid w:val="00F0393B"/>
    <w:rsid w:val="00F136A6"/>
    <w:rsid w:val="00F15D08"/>
    <w:rsid w:val="00F313DD"/>
    <w:rsid w:val="00F34E51"/>
    <w:rsid w:val="00F378BE"/>
    <w:rsid w:val="00F43120"/>
    <w:rsid w:val="00F44FF2"/>
    <w:rsid w:val="00F56367"/>
    <w:rsid w:val="00F62B1E"/>
    <w:rsid w:val="00F64378"/>
    <w:rsid w:val="00F64E77"/>
    <w:rsid w:val="00F67FC3"/>
    <w:rsid w:val="00F715EB"/>
    <w:rsid w:val="00F763A4"/>
    <w:rsid w:val="00F80D67"/>
    <w:rsid w:val="00F81CF2"/>
    <w:rsid w:val="00F82A04"/>
    <w:rsid w:val="00F83DF3"/>
    <w:rsid w:val="00F941B8"/>
    <w:rsid w:val="00F96BF5"/>
    <w:rsid w:val="00FA3BA5"/>
    <w:rsid w:val="00FA5FA5"/>
    <w:rsid w:val="00FA6721"/>
    <w:rsid w:val="00FA7365"/>
    <w:rsid w:val="00FA79A7"/>
    <w:rsid w:val="00FB0681"/>
    <w:rsid w:val="00FB0BEA"/>
    <w:rsid w:val="00FB421C"/>
    <w:rsid w:val="00FB707A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372D02"/>
    <w:rsid w:val="31786A16"/>
    <w:rsid w:val="320D55D9"/>
    <w:rsid w:val="33135041"/>
    <w:rsid w:val="33527275"/>
    <w:rsid w:val="33D33712"/>
    <w:rsid w:val="354A404D"/>
    <w:rsid w:val="37317C9C"/>
    <w:rsid w:val="37D1547D"/>
    <w:rsid w:val="38087949"/>
    <w:rsid w:val="383203AE"/>
    <w:rsid w:val="384F3FB6"/>
    <w:rsid w:val="386A541B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6CA386B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4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4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Normal (Web)"/>
    <w:basedOn w:val="1"/>
    <w:qFormat/>
    <w:uiPriority w:val="0"/>
    <w:pPr>
      <w:spacing w:beforeAutospacing="1" w:afterAutospacing="1"/>
    </w:pPr>
    <w:rPr>
      <w:sz w:val="24"/>
      <w:lang w:val="en-US" w:eastAsia="zh-CN"/>
    </w:rPr>
  </w:style>
  <w:style w:type="paragraph" w:styleId="14">
    <w:name w:val="index 1"/>
    <w:basedOn w:val="1"/>
    <w:semiHidden/>
    <w:qFormat/>
    <w:uiPriority w:val="0"/>
    <w:pPr>
      <w:keepLines/>
    </w:pPr>
  </w:style>
  <w:style w:type="paragraph" w:styleId="15">
    <w:name w:val="annotation subject"/>
    <w:basedOn w:val="8"/>
    <w:next w:val="8"/>
    <w:link w:val="4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21"/>
      <w:szCs w:val="21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标题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link w:val="43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页眉 Char"/>
    <w:link w:val="11"/>
    <w:qFormat/>
    <w:uiPriority w:val="0"/>
    <w:rPr>
      <w:lang w:eastAsia="en-US"/>
    </w:rPr>
  </w:style>
  <w:style w:type="paragraph" w:customStyle="1" w:styleId="35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7">
    <w:name w:val="修订4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8">
    <w:name w:val="修订5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9">
    <w:name w:val="修订6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0">
    <w:name w:val="批注文字 Char"/>
    <w:basedOn w:val="17"/>
    <w:link w:val="8"/>
    <w:semiHidden/>
    <w:qFormat/>
    <w:uiPriority w:val="0"/>
    <w:rPr>
      <w:rFonts w:ascii="Arial" w:hAnsi="Arial" w:eastAsiaTheme="minorEastAsia"/>
      <w:lang w:val="en-GB" w:eastAsia="en-US"/>
    </w:rPr>
  </w:style>
  <w:style w:type="character" w:customStyle="1" w:styleId="41">
    <w:name w:val="批注主题 Char"/>
    <w:basedOn w:val="40"/>
    <w:link w:val="15"/>
    <w:qFormat/>
    <w:uiPriority w:val="0"/>
    <w:rPr>
      <w:rFonts w:ascii="Arial" w:hAnsi="Arial" w:eastAsiaTheme="minorEastAsia"/>
      <w:b/>
      <w:bCs/>
      <w:lang w:val="en-GB" w:eastAsia="en-US"/>
    </w:rPr>
  </w:style>
  <w:style w:type="paragraph" w:customStyle="1" w:styleId="4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3">
    <w:name w:val="TAL Char"/>
    <w:link w:val="28"/>
    <w:qFormat/>
    <w:uiPriority w:val="0"/>
    <w:rPr>
      <w:rFonts w:ascii="Arial" w:hAnsi="Arial" w:eastAsiaTheme="minorEastAsia"/>
      <w:color w:val="000000"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359</Words>
  <Characters>1873</Characters>
  <Lines>40</Lines>
  <Paragraphs>11</Paragraphs>
  <TotalTime>19</TotalTime>
  <ScaleCrop>false</ScaleCrop>
  <LinksUpToDate>false</LinksUpToDate>
  <CharactersWithSpaces>2174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2025-11-07T08:42:00Z</dcterms:created>
  <dc:creator>Alain Sultan</dc:creator>
  <cp:lastModifiedBy>刘莹莹</cp:lastModifiedBy>
  <cp:lastPrinted>2025-08-15T00:59:00Z</cp:lastPrinted>
  <dcterms:modified xsi:type="dcterms:W3CDTF">2025-11-20T23:42:43Z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eyJoZGlkIjoiNmRkOTQ2NGUzMmQ2NzAxMjg2ZjViNDRjOTc1ZWU2N2QiLCJ1c2VySWQiOiIxNjU1MzQzNDEyIn0=</vt:lpwstr>
  </property>
  <property fmtid="{D5CDD505-2E9C-101B-9397-08002B2CF9AE}" pid="4" name="KSOProductBuildVer">
    <vt:lpwstr>2052-12.1.0.23542</vt:lpwstr>
  </property>
  <property fmtid="{D5CDD505-2E9C-101B-9397-08002B2CF9AE}" pid="5" name="ICV">
    <vt:lpwstr>B2A354B38593442CADCC2EC3F9F72402_13</vt:lpwstr>
  </property>
</Properties>
</file>